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ascii="微软雅黑" w:hAnsi="微软雅黑" w:eastAsia="微软雅黑" w:cs="微软雅黑"/>
          <w:i w:val="0"/>
          <w:iCs w:val="0"/>
          <w:caps w:val="0"/>
          <w:color w:val="4C4C4C"/>
          <w:spacing w:val="0"/>
          <w:sz w:val="21"/>
          <w:szCs w:val="21"/>
        </w:rPr>
      </w:pPr>
      <w:bookmarkStart w:id="0" w:name="_GoBack"/>
      <w:bookmarkEnd w:id="0"/>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信用卡积分是宁波银行为鼓励信用卡持卡人用卡交易而推出的奖励性活动计划，具体奖励的形式为“信用卡波豆”。持卡人可持“信用卡波豆”兑换宁波银行提供的各类积分礼品。具体业务细则如下：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一、适用范围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（一）本奖励活动及业务细则适用宁波银行发行的信用卡系列产品，特殊信用卡产品的积分规则，以宁波银行官方渠道产品宣传页面信息为准。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w:t>
      </w: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凡有下列情形之一的信用卡持卡人，宁波银行有权取消持卡人参加本奖励计划的资格（含对积分进行冻结、扣减、清零）：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1、所持信用卡被止付、停用、账户冻结、挂失、过期、注销等卡片状态异常；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2、未偿还其对宁波银行所负债务（如信用卡处于逾期状态）；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3、涉嫌利用非真实交易、利用系统进行欺诈舞弊，或通过其他不正当途径进行恶意套取积分；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4、违反《宁波银行信用卡领用合约》、《宁波银行信用卡章程》、本计划规则及其他相关规定。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二、账户体系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每个持卡人名下有1套信用卡波豆账户，包括：综合账户、专项账户2类。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（一）综合账户的信用卡波豆可用于积分兑换。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（二）专项账户的信用卡波豆由于产品或活动的特殊规定，具有专项用途。如“本卡B专项账户”（适用于人民币信用卡B版、绍兴市民卡和蜗牛联名卡）的波豆除积分兑换外，还可用于积分抵扣息费。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微软雅黑" w:hAnsi="微软雅黑" w:eastAsia="微软雅黑" w:cs="微软雅黑"/>
          <w:i w:val="0"/>
          <w:iCs w:val="0"/>
          <w:caps w:val="0"/>
          <w:color w:val="4C4C4C"/>
          <w:spacing w:val="0"/>
          <w:sz w:val="21"/>
          <w:szCs w:val="21"/>
          <w:lang w:val="en-US"/>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（三）客户持有两张或两张以上信用卡时，各卡刷卡消费积累积分合并计算。主卡及附属卡积分合并计算，附属卡合资格交易获取的信用卡波豆计入主卡，仅限主卡人使用。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（四）持卡人在信用卡商城兑换积分商品时，信用卡波豆按照先综合账户后专项账户，同一账户内按照先到期先抵扣的规则抵扣。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五）持卡人名下的信用卡波豆账户具有正常、冻结和注销3种状态。持卡人名下全部宁波银行信用卡均已注销时，信用卡波豆账户为注销状态，不再支持使用且不可恢复。持卡人名下尚未销户的信用卡出现被止付等异常状态时，信用卡波豆账户为冻结状态，无法进行波豆兑换和息费抵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360" w:right="0" w:firstLine="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（六）持卡人不得将自身账户的信用卡波豆转让给他人。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三、累积规则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宁波银行信用卡波豆，包括用卡交易奖励波豆和活动奖励波豆：交易奖励波豆指持卡人使用宁波银行信用卡消费累积的积分；活动奖励波豆是指持卡人参与宁波银行信用卡各营销活动累积的积分，如消费满额、用卡活跃达标等，具体以活动说明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（二）信用卡交易奖励波豆计算办法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1、单笔消费每满10元人民币或1美元可累积1个信用卡波豆，如消费入账12元人民币，则累积1个信用卡波豆，一般于消费入账日的次日发放。部分特定类型的交易和特定商户类别的消费不可累积。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每月可累积波豆的交易金额上限，为客户上月末的信用卡固定额度（不含临时额度），超出上限不累积。如客户同时持有多张我行信用卡，则取最高一张卡的固定额度。如：客户上月末固定额度为5万元，本月可累积波豆的交易额，最多不超过5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3、特</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殊活动奖励的信用卡波豆计算方法及上限视活动规则而定。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（三）信用卡交易奖励波豆累积范围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1、除特殊约定外，信用卡在中国银联指定类别商户的正常刷卡消费（含云闪付 APP、银联二维码、银联手机闪付（含 Apple Pay、Huawei Pay、Samsung Pay、Mi Pay 等））可累积信用卡波豆。可累积信用卡波豆的交易的商户类别（即MCC码）见下表：</w:t>
      </w:r>
    </w:p>
    <w:tbl>
      <w:tblPr>
        <w:tblStyle w:val="4"/>
        <w:tblW w:w="84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14"/>
        <w:gridCol w:w="7365"/>
      </w:tblGrid>
      <w:tr>
        <w:tblPrEx>
          <w:shd w:val="clear" w:color="auto" w:fill="auto"/>
          <w:tblCellMar>
            <w:top w:w="0" w:type="dxa"/>
            <w:left w:w="0" w:type="dxa"/>
            <w:bottom w:w="0" w:type="dxa"/>
            <w:right w:w="0" w:type="dxa"/>
          </w:tblCellMar>
        </w:tblPrEx>
        <w:trPr>
          <w:trHeight w:val="481" w:hRule="atLeast"/>
        </w:trPr>
        <w:tc>
          <w:tcPr>
            <w:tcW w:w="1114"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b/>
                <w:bCs/>
                <w:i w:val="0"/>
                <w:iCs w:val="0"/>
                <w:caps w:val="0"/>
                <w:color w:val="000000"/>
                <w:spacing w:val="0"/>
                <w:kern w:val="0"/>
                <w:sz w:val="20"/>
                <w:szCs w:val="20"/>
                <w:lang w:val="en-US" w:eastAsia="zh-CN" w:bidi="ar"/>
              </w:rPr>
              <w:t>MCC代码</w:t>
            </w:r>
          </w:p>
        </w:tc>
        <w:tc>
          <w:tcPr>
            <w:tcW w:w="73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b/>
                <w:bCs/>
                <w:i w:val="0"/>
                <w:iCs w:val="0"/>
                <w:caps w:val="0"/>
                <w:color w:val="000000"/>
                <w:spacing w:val="0"/>
                <w:kern w:val="0"/>
                <w:sz w:val="20"/>
                <w:szCs w:val="20"/>
                <w:lang w:val="en-US" w:eastAsia="zh-CN" w:bidi="ar"/>
              </w:rPr>
              <w:t>商户类型名称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4733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大型景区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4812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通讯设备和电话销售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5094</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贵重珠宝、首饰，钟表零售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5200</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大型仓储式家庭用品卖场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5300</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会员制批量零售店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5309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免税商店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5310</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折扣商店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5311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百货商店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5331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各类杂货店、便利店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5399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其他综合零售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5422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各类肉类零售商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5441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糖果及坚果商店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5451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乳制品店、冷饮店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5462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面包房、糕点商店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5499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各类食品店及专门食品零售店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5611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男子和男童服装及用品商店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5621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妇女成衣商店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5631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女性用品商店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5641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婴儿、儿童服装店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5651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家庭服装商店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5655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运动服饰商店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5661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鞋店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5681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皮货店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5691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成人成衣店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5697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裁缝、修补、改衣店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5698</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假发商店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5699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各类服装及饰物店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5719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各种家庭装饰专营店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5732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电子设备商店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5733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音乐商店－乐器、钢琴、乐谱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5734</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计算机软件商店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5735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音像制品商店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5812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就餐场所和餐馆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5813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饮酒场所（酒吧、酒馆、夜总会、鸡尾酒大厅、迪斯科舞厅）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5814</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快餐店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5912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药房、药店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5921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瓶装酒零售店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5931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旧商品店、二手商品店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5932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古玩店——出售、维修及还原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5937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古玩复制店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5940</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自行车商店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体育用品店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书店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文具用品商店、各类办公用品商店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5944</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银器店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玩具、游戏店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5946</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照相器材商店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礼品、卡片、装饰品、纪念品商店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5948</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箱包、皮具店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5949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纺织品及针织品零售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5950</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玻璃器皿和水晶饰品店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旅游相关服务直销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门对门销售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5964</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目录销售商户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目录、零售兼营商户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5966</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电话呼出直销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电话呼入直销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5968</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订阅/订购直销服务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5969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其他直销商户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5970</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工艺美术商店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艺术商和画廊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邮票和纪念币商店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宗教品商店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助听器－销售、服务和用品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5976</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假肢店（整形外科用品、辅助设备）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化妆品商店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5978</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打字机商店—销售、服务和出租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5992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花店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5993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香烟、雪茄专卖店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5995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宠物商店、宠物食品及用品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5996</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游泳池－销售、供应和服务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5997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电动剃须刀商店－销售和服务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5999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其他专门零售店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7011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住宿服务（旅馆、酒店、汽车旅馆、度假村等）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7012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分时使用的别墅或度假用房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7032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运动和娱乐露营地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7033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活动房车场及露营场所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7297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按摩店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7298</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保健及美容SPA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7829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电影和录像创作、发行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7832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电影院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7911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歌舞厅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7922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戏剧制片（不含电影）、演出和票务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7929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未列入其他代码的乐队、文艺表演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7932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台球、撞球场所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7933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保龄球馆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7941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商业体育场馆、职业体育俱乐部、运动场和体育推广公司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7991</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旅游与展览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7992</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公共高尔夫球场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电子游戏供给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7994</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大型游戏机和游戏场所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7995</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彩票销售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7996</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游乐园、马戏团、嘉年华、占卜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7997</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会员俱乐部（体育、娱乐、运动等）、乡村俱乐部以及私人高尔夫课程班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7998</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水族馆、海洋馆和海豚馆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0"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7999</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未列入其他代码的娱乐服务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1114"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8043</w:t>
            </w:r>
          </w:p>
        </w:tc>
        <w:tc>
          <w:tcPr>
            <w:tcW w:w="73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微软雅黑" w:hAnsi="微软雅黑" w:eastAsia="微软雅黑" w:cs="微软雅黑"/>
                <w:sz w:val="20"/>
                <w:szCs w:val="20"/>
              </w:rPr>
            </w:pPr>
            <w:r>
              <w:rPr>
                <w:rFonts w:hint="eastAsia" w:ascii="微软雅黑" w:hAnsi="微软雅黑" w:eastAsia="微软雅黑" w:cs="微软雅黑"/>
                <w:i w:val="0"/>
                <w:iCs w:val="0"/>
                <w:caps w:val="0"/>
                <w:color w:val="000000"/>
                <w:spacing w:val="0"/>
                <w:kern w:val="0"/>
                <w:sz w:val="20"/>
                <w:szCs w:val="20"/>
                <w:lang w:val="en-US" w:eastAsia="zh-CN" w:bidi="ar"/>
              </w:rPr>
              <w:t>光学产品、眼镜店</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（1）所列商户类别码（MCC），以中国银联最新相关规范为准，并可能随时新增或调整；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（2）商户类别以商户 POS 机设定的商户类别码为准，详情请咨询特约商户及收单机构；如因收单行或商户错误使用商户类别码而导致积分漏计、错计，持卡人因此产生的损失、纠纷、争议由持卡人与收单行或商户自行处理和解决，宁波银行不承担相关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2、通过支付宝、微信支付（财付通）、京东支付、美团支付、易付宝支付、抖音支付、多多支付、滴滴支付、唯品支付等快捷支付的消费可累积信用卡波豆。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3、对于以下费用和交易不累积信用卡波豆：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（1）信用卡年费、循环信用利息、预借现金的手续费及利息、逾期缴款所衍生的费用（如滞纳金、利息）、信用卡转账交易费用及依领用合约约定的其它各项费用；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（2）预借现金或者溢缴款领回交易；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（3）部分缴费类交易，通过代扣代缴方式支付的相关费用；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（4）通过部分第三方支付机构受理的交易不累积波豆，以商</w:t>
      </w:r>
      <w:r>
        <w:rPr>
          <w:rFonts w:hint="eastAsia" w:ascii="微软雅黑" w:hAnsi="微软雅黑" w:eastAsia="微软雅黑" w:cs="微软雅黑"/>
          <w:b w:val="0"/>
          <w:bCs w:val="0"/>
          <w:i w:val="0"/>
          <w:iCs w:val="0"/>
          <w:caps w:val="0"/>
          <w:color w:val="000000" w:themeColor="text1"/>
          <w:spacing w:val="0"/>
          <w:kern w:val="0"/>
          <w:sz w:val="21"/>
          <w:szCs w:val="21"/>
          <w:shd w:val="clear" w:fill="FFFFFF"/>
          <w:lang w:val="en-US" w:eastAsia="zh-CN" w:bidi="ar"/>
          <w14:textFill>
            <w14:solidFill>
              <w14:schemeClr w14:val="tx1"/>
            </w14:solidFill>
          </w14:textFill>
        </w:rPr>
        <w:t>户编码前三位进行识别。不累积波豆的收单机构商户编码前三位为801、822、823、826、827、829、831、833、834、836、843、847、848、849、850、857、864、872、887、8</w:t>
      </w: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90、900、928。不累积波豆的支付机构将不定期更新，具体以我行官网或App公示的最新版本为准；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（5）特殊类型的商户消费不累积信用卡波豆，具体通过交易的商户类别（即MCC码）进行判定；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default" w:ascii="微软雅黑" w:hAnsi="微软雅黑" w:eastAsia="微软雅黑" w:cs="微软雅黑"/>
          <w:b w:val="0"/>
          <w:bCs w:val="0"/>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（6）商品分期类交易，如通过支付宝等外部收银台完成的消费分期类交易；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default" w:ascii="微软雅黑" w:hAnsi="微软雅黑" w:eastAsia="微软雅黑" w:cs="微软雅黑"/>
          <w:b w:val="0"/>
          <w:bCs w:val="0"/>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（7）我行认定的疑似虚假交易或套现类交易；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（8）其他我行另行指定的项目；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（7）针对特殊卡产品，积分累积规则按照对应卡产品相关规定执行。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持卡人因任何理由取消已进行的交易而全部或部分退回交易款项的，宁波银行将依照退还款项的金额及消费时积分计算方法扣除已奖励的相应积分。如相应积分已被使用，则宁波银行有权向持卡人追回已兑换或参与的积分项目，同时有权将持卡人已兑换或参与的积分项目作为其应还款项等价计入其账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持卡人涉嫌利用虚假交易获取积分，宁波银行有权要求持卡人提供消费交易发票、购买凭证等材料，已查实交易真实性。一旦查实持卡人通过虚假交易套取积分的，宁波银行有权不予累积该交易奖励积分，有权采取扣减积分、冻结积分、清零积分、取消后续参与积分计划资格等措施，并保留追究其法律责任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四、信用卡波豆有效期限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（一）持卡人至少持有1张状态正常的信用卡主卡时，信用卡波豆账户有效，如持卡人注销名下全部宁波银行信用卡，则信用卡波豆账户将被注销，且不可恢复。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二）信用卡波豆有效期一般为获取之日起2年后当月月末失效，过期自动失效。如：2026年1月8日获得的消费积分，则将于2028年1月31日失效。特殊卡种或特殊活动奖励的信用卡波豆的有效期视卡产品或活动规则而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五、信用卡波豆查询方式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（一）宁波银行App等自助渠道；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（二）24小时信用卡客户服务热线电话4000095574。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六、信用卡波豆兑换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（一）礼品兑换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微软雅黑" w:hAnsi="微软雅黑" w:eastAsia="微软雅黑" w:cs="微软雅黑"/>
          <w:b w:val="0"/>
          <w:bCs w:val="0"/>
          <w:i w:val="0"/>
          <w:iCs w:val="0"/>
          <w:caps w:val="0"/>
          <w:color w:val="4C4C4C"/>
          <w:spacing w:val="0"/>
          <w:sz w:val="21"/>
          <w:szCs w:val="21"/>
          <w:lang w:val="en-US"/>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1、信用卡波豆仅适用于兑换宁波银行指定礼品（包括不限于实物、虚拟商品、营销服务、特殊产品年费券等），礼品供应商、生产商、供应期限、兑换分支、兑换比例和上限等可能随时发生变化，具体以产品宣传页面或产品页信息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微软雅黑" w:hAnsi="微软雅黑" w:eastAsia="微软雅黑" w:cs="微软雅黑"/>
          <w:b w:val="0"/>
          <w:bCs w:val="0"/>
          <w:i w:val="0"/>
          <w:iCs w:val="0"/>
          <w:caps w:val="0"/>
          <w:color w:val="4C4C4C"/>
          <w:spacing w:val="0"/>
          <w:sz w:val="21"/>
          <w:szCs w:val="21"/>
          <w:lang w:val="en-US"/>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2、持卡人可依照兑换标准兑换，兑换订单即时生效，将从信用卡波豆账户中扣减相应分值，信用卡波豆扣减以有效期为依据，先到期的信用卡波豆优先抵扣。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微软雅黑" w:hAnsi="微软雅黑" w:eastAsia="微软雅黑" w:cs="微软雅黑"/>
          <w:b w:val="0"/>
          <w:bCs w:val="0"/>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3、部分礼品有数量、兑换时间限制的，兑完为止。虚拟商品、活动类等特定商品一经兑换概不支持退换，详见礼品兑换说明。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微软雅黑" w:hAnsi="微软雅黑" w:eastAsia="微软雅黑" w:cs="微软雅黑"/>
          <w:b w:val="0"/>
          <w:bCs w:val="0"/>
          <w:i w:val="0"/>
          <w:iCs w:val="0"/>
          <w:caps w:val="0"/>
          <w:color w:val="4C4C4C"/>
          <w:spacing w:val="0"/>
          <w:sz w:val="21"/>
          <w:szCs w:val="21"/>
          <w:lang w:val="en-US"/>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4、在客户发起礼品兑换时，视为同意宁波银行将客户填写的收货地址、联系人、手机号等相关订单信息提交至第三方产品服务商或配送商。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（二）兑换渠道及相关说明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1、持卡人可通过宁波银行APP、宁波银行信用卡微信服务号、宁波银行合作商户及平台进行需要可积分兑换服务，兑换时优先使用客户账户中的即将到期的积分；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2、如上述兑换方式发生变更，以宁波银行实际公布的兑换方式为准。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（三）礼品说明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1、部分服务项目、礼券有使用期限，请务必在载明的有效期限内使用，过期将无法使用，亦无法退换、补发或延续；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b w:val="0"/>
          <w:bCs w:val="0"/>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2、网站或者宣传页上所列礼品图样仅供参考，以实物为准，持卡人兑换礼品后，因质量、数量、款式、颜色、售后服务等引起的问题均由商城平台或供应商负责，宁波银行将协助持卡人与平台方或供应商联系，宁波银行不提供任何形式的担保、承诺或退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3、实物礼品采用邮寄</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方式寄送，已标注定点兑换的积分礼品以外。标注定点兑换的积分礼品须到宁波银行指定地点领取；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采用邮寄方式寄送的实物礼品将在15个工作日内送达，持卡人须凭本人身份证件签收。持卡人可选择在宁波银行预留的家庭或者单位地址作为递送地址，因地址不详、错误、变更未及时通知或无人收货等原因造成的延迟送达、未能送达等情况，责任由持卡人本人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default"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如所兑换的产品在运送过程中损坏或产品有质量问题时，客户可在签收日起15天内申请，超过15天将不予受理（具体活动另有说明的除外）。若产品退回时，请务必保留原包装、内附说明书及相关文件，具体要求以各兑换活动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七、特别活动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不定期活动：我行将不定期推出积分回馈活动，活动详情及细则将随具体活动确定并另行通知。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八、特别说明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default" w:ascii="微软雅黑" w:hAnsi="微软雅黑" w:eastAsia="微软雅黑" w:cs="微软雅黑"/>
          <w:i w:val="0"/>
          <w:iCs w:val="0"/>
          <w:caps w:val="0"/>
          <w:color w:val="000000"/>
          <w:spacing w:val="0"/>
          <w:kern w:val="0"/>
          <w:sz w:val="21"/>
          <w:szCs w:val="21"/>
          <w:shd w:val="clear" w:fill="FFFFFF"/>
          <w:lang w:val="en-US" w:eastAsia="zh-CN" w:bidi="ar"/>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（一）客户如有任何</w:t>
      </w: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利用非真实交易、利用系统进行欺诈舞弊，或通过其他不正当途径进行恶意套取积分的行为，</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宁波银行有权要求客户提供交易凭证（包括不限于POS签购单、购物小票和购物发票）</w:t>
      </w: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若客户无法提供或提供虚假的凭证，</w:t>
      </w:r>
      <w:r>
        <w:rPr>
          <w:rFonts w:hint="eastAsia" w:ascii="微软雅黑" w:hAnsi="微软雅黑" w:eastAsia="微软雅黑" w:cs="微软雅黑"/>
          <w:b w:val="0"/>
          <w:bCs w:val="0"/>
          <w:i w:val="0"/>
          <w:iCs w:val="0"/>
          <w:caps w:val="0"/>
          <w:color w:val="000000"/>
          <w:spacing w:val="0"/>
          <w:kern w:val="0"/>
          <w:sz w:val="21"/>
          <w:szCs w:val="21"/>
          <w:shd w:val="clear" w:fill="FFFFFF"/>
          <w:lang w:val="en-US" w:eastAsia="zh-CN" w:bidi="ar"/>
        </w:rPr>
        <w:t>宁波银行有权对其取消参与积分活动的资格、冻结积分、积分清零、扣回客户已套取的积分、暂停或取消所有信用卡权益、取消或降低客户的授信额度、止付信用卡等一项或多项风险管控措施。对其通过恶意套取积分所兑换的产品或服务不予发放或追回其已兑换的产品，并保留追究其法律责任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（二）宁波银行保留对本细则条款解释的权利，有权随时增删、修订本细则，以宁波银行网站或App公告为准。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（三）宁波银行保留随时变更积分礼品的权利，以宁波银行网站或App公布为准，不再另行通告。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2"/>
        <w:jc w:val="left"/>
        <w:rPr>
          <w:rFonts w:hint="eastAsia" w:ascii="微软雅黑" w:hAnsi="微软雅黑" w:eastAsia="微软雅黑" w:cs="微软雅黑"/>
          <w:i w:val="0"/>
          <w:iCs w:val="0"/>
          <w:caps w:val="0"/>
          <w:color w:val="4C4C4C"/>
          <w:spacing w:val="0"/>
          <w:sz w:val="21"/>
          <w:szCs w:val="21"/>
        </w:rPr>
      </w:pP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九</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w:t>
      </w:r>
      <w:r>
        <w:rPr>
          <w:rFonts w:hint="eastAsia" w:ascii="微软雅黑" w:hAnsi="微软雅黑" w:eastAsia="微软雅黑" w:cs="微软雅黑"/>
          <w:b/>
          <w:bCs/>
          <w:i w:val="0"/>
          <w:iCs w:val="0"/>
          <w:caps w:val="0"/>
          <w:color w:val="000000"/>
          <w:spacing w:val="0"/>
          <w:kern w:val="0"/>
          <w:sz w:val="21"/>
          <w:szCs w:val="21"/>
          <w:shd w:val="clear" w:fill="FFFFFF"/>
          <w:lang w:val="en-US" w:eastAsia="zh-CN" w:bidi="ar"/>
        </w:rPr>
        <w:t>本细则自2026年4月10日起生效，所有入账日期在该日期（含）之后的交易均按以上规则进行计算。</w:t>
      </w:r>
    </w:p>
    <w:p>
      <w:pPr>
        <w:rPr>
          <w:sz w:val="21"/>
          <w:szCs w:val="21"/>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A6345"/>
    <w:rsid w:val="16A14947"/>
    <w:rsid w:val="17E90288"/>
    <w:rsid w:val="22D90665"/>
    <w:rsid w:val="52DA2C34"/>
    <w:rsid w:val="6B661669"/>
    <w:rsid w:val="77B6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11</TotalTime>
  <ScaleCrop>false</ScaleCrop>
  <LinksUpToDate>false</LinksUpToDate>
  <CharactersWithSpaces>0</CharactersWithSpaces>
  <Application>WPS Office_12.8.2.18051_F1E327BC-269C-435d-A152-05C5408002CA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226551</dc:creator>
  <cp:lastModifiedBy>NTKO</cp:lastModifiedBy>
  <dcterms:modified xsi:type="dcterms:W3CDTF">2026-02-25T08:39:44Z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2052-12.8.2.18051</vt:lpwstr>
  </property>
  <property fmtid="{D5CDD505-2E9C-101B-9397-08002B2CF9AE}" pid="3" name="ICV">
    <vt:lpwstr>3DDC279BC8464EC1BE4A620A0BB9731B_13</vt:lpwstr>
  </property>
</Properties>
</file>